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Style w:val="TableGrid"/>
        <w:tblW w:w="0" w:type="auto"/>
        <w:tblLook w:val="04A0"/>
      </w:tblPr>
      <w:tblGrid>
        <w:gridCol w:w="2789"/>
        <w:gridCol w:w="2789"/>
        <w:gridCol w:w="2790"/>
        <w:gridCol w:w="2790"/>
        <w:gridCol w:w="2790"/>
      </w:tblGrid>
      <w:tr w:rsidTr="00E47FD0">
        <w:tblPrEx>
          <w:tblW w:w="0" w:type="auto"/>
          <w:tblLook w:val="04A0"/>
        </w:tblPrEx>
        <w:trPr>
          <w:tblHeader/>
        </w:trPr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National LEP Review Issue</w:t>
            </w: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Key Actions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Government will…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LEPs will…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Lancashire Position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Role and Responsibilities</w:t>
            </w: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Role and Responsibilities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Publish a statement on LEP roles and responsibilities with a focus on productivity and growth 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Produce an </w:t>
            </w:r>
            <w:r w:rsidRPr="00B124AF">
              <w:rPr>
                <w:rFonts w:ascii="Arial" w:hAnsi="Arial" w:cs="Arial"/>
                <w:sz w:val="24"/>
                <w:szCs w:val="24"/>
              </w:rPr>
              <w:t>evidence-based Local Industrial Strategy (LIS)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Publish further guidance on LIS</w:t>
            </w:r>
          </w:p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Produce LIS by end 2020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Significant body of work already in place and being developed with strong engagement with local authority leaders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Commission an Annual Economic </w:t>
            </w:r>
            <w:r w:rsidRPr="00B124AF">
              <w:rPr>
                <w:rFonts w:ascii="Arial" w:hAnsi="Arial" w:cs="Arial"/>
                <w:sz w:val="24"/>
                <w:szCs w:val="24"/>
              </w:rPr>
              <w:t>Outlook measuring economic performance across LEPs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LEP currently produces regular economic monitors and undertakes policy research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Produce an Annual Delivery Plan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Details to be provided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Publish an Annual Delivery Plan</w:t>
            </w:r>
          </w:p>
        </w:tc>
        <w:tc>
          <w:tcPr>
            <w:tcW w:w="2790" w:type="dxa"/>
            <w:vMerge w:val="restart"/>
          </w:tcPr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LEP already produces a budget an</w:t>
            </w:r>
            <w:r w:rsidRPr="00B124AF">
              <w:rPr>
                <w:rFonts w:ascii="Arial" w:hAnsi="Arial" w:cs="Arial"/>
                <w:sz w:val="24"/>
                <w:szCs w:val="24"/>
              </w:rPr>
              <w:t>d delivery plan approved at Board and has published an Achievements Document and Annual Report</w:t>
            </w: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Produce and end of year report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Details to be provided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Publish an end of year report</w:t>
            </w:r>
          </w:p>
        </w:tc>
        <w:tc>
          <w:tcPr>
            <w:tcW w:w="2790" w:type="dxa"/>
            <w:vMerge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Leadership and Organisational Capacity</w:t>
            </w: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Dialogue with </w:t>
            </w:r>
            <w:r w:rsidRPr="00B124AF">
              <w:rPr>
                <w:rFonts w:ascii="Arial" w:hAnsi="Arial" w:cs="Arial"/>
                <w:sz w:val="24"/>
                <w:szCs w:val="24"/>
              </w:rPr>
              <w:t>government including with PM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Increase frequency and regularity of dialogue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LEP Council with PM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Edwin attended first LEP Council with PM 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Minster and Senior official LEP sponsors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Meetings with Lord Henley are more regular, given turnover in our Ministerial sponsors.  Meetings arranged with official sponsor starting in the Autumn 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Advertising of Vacancies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Offer to list vacancies on the Centre for public appointments website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LEP h</w:t>
            </w:r>
            <w:r w:rsidRPr="00B124AF">
              <w:rPr>
                <w:rFonts w:ascii="Arial" w:hAnsi="Arial" w:cs="Arial"/>
                <w:sz w:val="24"/>
                <w:szCs w:val="24"/>
              </w:rPr>
              <w:t xml:space="preserve">as recently advertised   Director vacancies 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Appointment of Chair / Deputy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Support with Govt appointments service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Consult widely and transparently with business community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Imminent opportunity to test new process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Define term limits for Chair Deputy – </w:t>
            </w:r>
            <w:r w:rsidRPr="00B124AF">
              <w:rPr>
                <w:rFonts w:ascii="Arial" w:hAnsi="Arial" w:cs="Arial"/>
                <w:sz w:val="24"/>
                <w:szCs w:val="24"/>
              </w:rPr>
              <w:t>3 years seems to be the emerging time period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No fixed-term currently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Training of Board members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HMG will provide a training programme for LEP Board members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Induction and support already provided to all LEP Directors. 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Board Size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Limit Board to maximum</w:t>
            </w:r>
            <w:r w:rsidRPr="00B124AF">
              <w:rPr>
                <w:rFonts w:ascii="Arial" w:hAnsi="Arial" w:cs="Arial"/>
                <w:sz w:val="24"/>
                <w:szCs w:val="24"/>
              </w:rPr>
              <w:t xml:space="preserve"> of 20 + optional 5 co-optees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Currently 19 Board Directors with applications pending for 3 vacancies. Process </w:t>
            </w:r>
            <w:r w:rsidRPr="00B124AF">
              <w:rPr>
                <w:rFonts w:ascii="Arial" w:hAnsi="Arial" w:cs="Arial"/>
                <w:sz w:val="24"/>
                <w:szCs w:val="24"/>
              </w:rPr>
              <w:t>paused in light of national review.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Improve gender balance and representation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1/3 of Board to be women by 2020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Currently 2 of 19 (10%) women. 1</w:t>
            </w:r>
            <w:r w:rsidRPr="00B124AF">
              <w:rPr>
                <w:rFonts w:ascii="Arial" w:hAnsi="Arial" w:cs="Arial"/>
                <w:sz w:val="24"/>
                <w:szCs w:val="24"/>
              </w:rPr>
              <w:t xml:space="preserve"> male BME Director.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Additional resource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Provide an additional £20m before end 19/20.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It is informally suggested that an additional £200K per year will be provided to each newly compliant LEP.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LCC has been providing match funding and core capacity support</w:t>
            </w:r>
            <w:r w:rsidRPr="00B124AF">
              <w:rPr>
                <w:rFonts w:ascii="Arial" w:hAnsi="Arial" w:cs="Arial"/>
                <w:sz w:val="24"/>
                <w:szCs w:val="24"/>
              </w:rPr>
              <w:t xml:space="preserve"> valued at nearly £3m since the LEP's inception in 2011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Secretariat "independent of local government"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Details to be provided 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Need to agree what this means locally.</w:t>
            </w:r>
          </w:p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Current LEP executive is provided by LCC staff that are fully or partly funded by the LEP. </w:t>
            </w: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LCC provides the LEP with company and accountable body services.  </w:t>
            </w: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 xml:space="preserve">Accountability and Performance </w:t>
            </w: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Accountability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HMG to maintain overall </w:t>
            </w:r>
            <w:r w:rsidRPr="00B124AF">
              <w:rPr>
                <w:rFonts w:ascii="Arial" w:hAnsi="Arial" w:cs="Arial"/>
                <w:sz w:val="24"/>
                <w:szCs w:val="24"/>
              </w:rPr>
              <w:t>accountability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Have a Legal Personality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LEP has a compliant company structure, but LCC control and ownership of LEP company structure will need to be addressed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Clear statement on the role of Chair, Board Directors and Accountable Body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LEP's fully compl</w:t>
            </w:r>
            <w:r w:rsidRPr="00B124AF">
              <w:rPr>
                <w:rFonts w:ascii="Arial" w:hAnsi="Arial" w:cs="Arial"/>
                <w:sz w:val="24"/>
                <w:szCs w:val="24"/>
              </w:rPr>
              <w:t xml:space="preserve">iant current assurance framework addresses these points, though await any further changes in national guidance. Our LEP is rated as outstanding, in this regard, by Government auditors  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Participate in local authority scrutiny panels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LEP regularly </w:t>
            </w:r>
            <w:r w:rsidRPr="00B124AF">
              <w:rPr>
                <w:rFonts w:ascii="Arial" w:hAnsi="Arial" w:cs="Arial"/>
                <w:sz w:val="24"/>
                <w:szCs w:val="24"/>
              </w:rPr>
              <w:t>attends LCC scrutiny and other local authorities by request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Hold an AGM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Need to plan for this event.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Measurement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Publish Annual Performance 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Annual Report produced with key metrics included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Intervention 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Publish a clear statement on an escalating </w:t>
            </w:r>
            <w:r w:rsidRPr="00B124AF">
              <w:rPr>
                <w:rFonts w:ascii="Arial" w:hAnsi="Arial" w:cs="Arial"/>
                <w:sz w:val="24"/>
                <w:szCs w:val="24"/>
              </w:rPr>
              <w:t>approach to intervention with underperforming LEPs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Performance Improvement 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Develop approach to performance improvement with sector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No overlaps, potential for mergers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Receive proposals from LEPs or local stakeholders for </w:t>
            </w:r>
            <w:r w:rsidRPr="00B124AF">
              <w:rPr>
                <w:rFonts w:ascii="Arial" w:hAnsi="Arial" w:cs="Arial"/>
                <w:sz w:val="24"/>
                <w:szCs w:val="24"/>
              </w:rPr>
              <w:t>change by end September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Continue to collaborate across boundaries.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No boundary changes required plus track record of cross-boundary collaboration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4AF">
              <w:rPr>
                <w:rFonts w:ascii="Arial" w:hAnsi="Arial" w:cs="Arial"/>
                <w:b/>
                <w:sz w:val="24"/>
                <w:szCs w:val="24"/>
              </w:rPr>
              <w:t>Mayoral Combined Authorities</w:t>
            </w: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Further consolidate engagement with MCAs and their LEPs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LEPs to have a </w:t>
            </w:r>
            <w:r w:rsidRPr="00B124AF">
              <w:rPr>
                <w:rFonts w:ascii="Arial" w:hAnsi="Arial" w:cs="Arial"/>
                <w:sz w:val="24"/>
                <w:szCs w:val="24"/>
              </w:rPr>
              <w:t>distinctive role within MCAs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MCAs and LEPs to develop clear local agreements and roles and responsibilities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 xml:space="preserve">Move toward coterminous boundaries </w:t>
            </w:r>
          </w:p>
        </w:tc>
        <w:tc>
          <w:tcPr>
            <w:tcW w:w="2790" w:type="dxa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  <w:r w:rsidRPr="00B124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47FD0">
        <w:tblPrEx>
          <w:tblW w:w="0" w:type="auto"/>
          <w:tblLook w:val="04A0"/>
        </w:tblPrEx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808080" w:themeFill="background1" w:themeFillShade="80"/>
          </w:tcPr>
          <w:p w:rsidR="00B124AF" w:rsidRPr="00B124AF" w:rsidP="00E47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4AF" w:rsidRPr="00B124AF" w:rsidP="00B124AF">
      <w:pPr>
        <w:rPr>
          <w:rFonts w:ascii="Arial" w:hAnsi="Arial" w:cs="Arial"/>
          <w:sz w:val="24"/>
          <w:szCs w:val="24"/>
        </w:rPr>
      </w:pPr>
    </w:p>
    <w:p w:rsidR="008C13DE" w:rsidRPr="00B124AF">
      <w:pPr>
        <w:rPr>
          <w:rFonts w:ascii="Arial" w:hAnsi="Arial" w:cs="Arial"/>
          <w:sz w:val="24"/>
          <w:szCs w:val="24"/>
        </w:rPr>
      </w:pPr>
    </w:p>
    <w:sectPr w:rsidSect="00E076E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53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24AF" w:rsidRPr="00B124AF" w:rsidP="00B124AF">
    <w:pPr>
      <w:pStyle w:val="Header"/>
      <w:jc w:val="right"/>
      <w:rPr>
        <w:rFonts w:ascii="Arial" w:hAnsi="Arial" w:cs="Arial"/>
        <w:b/>
        <w:sz w:val="24"/>
        <w:szCs w:val="24"/>
      </w:rPr>
    </w:pPr>
    <w:r w:rsidRPr="00B124AF">
      <w:rPr>
        <w:rFonts w:ascii="Arial" w:hAnsi="Arial" w:cs="Arial"/>
        <w:b/>
        <w:sz w:val="24"/>
        <w:szCs w:val="24"/>
      </w:rPr>
      <w:t xml:space="preserve">Appendix </w:t>
    </w:r>
    <w:r w:rsidRPr="00B124AF">
      <w:rPr>
        <w:rFonts w:ascii="Arial" w:hAnsi="Arial" w:cs="Arial"/>
        <w:b/>
        <w:sz w:val="24"/>
        <w:szCs w:val="24"/>
      </w:rPr>
      <w:t>'</w:t>
    </w:r>
    <w:r>
      <w:rPr>
        <w:rFonts w:ascii="Arial" w:hAnsi="Arial" w:cs="Arial"/>
        <w:b/>
        <w:sz w:val="24"/>
        <w:szCs w:val="24"/>
      </w:rPr>
      <w:t>B</w:t>
    </w:r>
    <w:bookmarkStart w:id="0" w:name="_GoBack"/>
    <w:bookmarkEnd w:id="0"/>
    <w:r w:rsidRPr="00B124AF">
      <w:rPr>
        <w:rFonts w:ascii="Arial" w:hAnsi="Arial" w:cs="Arial"/>
        <w:b/>
        <w:sz w:val="24"/>
        <w:szCs w:val="24"/>
      </w:rPr>
      <w:t>'</w:t>
    </w:r>
  </w:p>
  <w:p w:rsidR="00B12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4AF"/>
  </w:style>
  <w:style w:type="paragraph" w:styleId="Footer">
    <w:name w:val="footer"/>
    <w:basedOn w:val="Normal"/>
    <w:link w:val="FooterChar"/>
    <w:uiPriority w:val="99"/>
    <w:unhideWhenUsed/>
    <w:rsid w:val="00B1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Milroy, Andy</dc:creator>
  <cp:lastModifiedBy>Milroy, Andy</cp:lastModifiedBy>
  <cp:revision>2</cp:revision>
  <dcterms:created xsi:type="dcterms:W3CDTF">2018-09-06T14:12:00Z</dcterms:created>
  <dcterms:modified xsi:type="dcterms:W3CDTF">2018-09-07T08:52:00Z</dcterms:modified>
</cp:coreProperties>
</file>